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10" w:rsidRDefault="00991810" w:rsidP="009B4029">
      <w:pPr>
        <w:jc w:val="both"/>
      </w:pPr>
    </w:p>
    <w:p w:rsidR="009B4029" w:rsidRDefault="009B4029" w:rsidP="009B4029">
      <w:pPr>
        <w:jc w:val="both"/>
      </w:pPr>
    </w:p>
    <w:p w:rsidR="009B4029" w:rsidRPr="006C0939" w:rsidRDefault="009B4029" w:rsidP="009B4029">
      <w:pPr>
        <w:jc w:val="center"/>
        <w:rPr>
          <w:b/>
        </w:rPr>
      </w:pPr>
      <w:r w:rsidRPr="006C0939">
        <w:rPr>
          <w:b/>
        </w:rPr>
        <w:t>MEETING OF THE</w:t>
      </w:r>
    </w:p>
    <w:p w:rsidR="009B4029" w:rsidRPr="006C0939" w:rsidRDefault="009B4029" w:rsidP="009B4029">
      <w:pPr>
        <w:jc w:val="center"/>
        <w:rPr>
          <w:b/>
        </w:rPr>
      </w:pPr>
      <w:r w:rsidRPr="006C0939">
        <w:rPr>
          <w:b/>
        </w:rPr>
        <w:t>EAST FREMANTLE FARM Inc</w:t>
      </w:r>
    </w:p>
    <w:p w:rsidR="009B4029" w:rsidRPr="006C0939" w:rsidRDefault="009B4029" w:rsidP="009B4029">
      <w:pPr>
        <w:jc w:val="center"/>
        <w:rPr>
          <w:b/>
        </w:rPr>
      </w:pPr>
      <w:r w:rsidRPr="006C0939">
        <w:rPr>
          <w:b/>
        </w:rPr>
        <w:t>COMMITTEE</w:t>
      </w:r>
    </w:p>
    <w:p w:rsidR="009B4029" w:rsidRPr="006C0939" w:rsidRDefault="009B4029" w:rsidP="009B4029">
      <w:pPr>
        <w:jc w:val="center"/>
        <w:rPr>
          <w:b/>
        </w:rPr>
      </w:pPr>
    </w:p>
    <w:p w:rsidR="009B4029" w:rsidRPr="006C0939" w:rsidRDefault="009B4029" w:rsidP="009B4029">
      <w:pPr>
        <w:jc w:val="center"/>
        <w:rPr>
          <w:b/>
        </w:rPr>
      </w:pPr>
      <w:r w:rsidRPr="006C0939">
        <w:rPr>
          <w:b/>
        </w:rPr>
        <w:t xml:space="preserve">7:30pm </w:t>
      </w:r>
      <w:r w:rsidR="00C917B9">
        <w:rPr>
          <w:b/>
        </w:rPr>
        <w:t>23 Feb 2011</w:t>
      </w:r>
    </w:p>
    <w:p w:rsidR="009B4029" w:rsidRDefault="009B4029" w:rsidP="009B4029">
      <w:pPr>
        <w:jc w:val="both"/>
      </w:pPr>
    </w:p>
    <w:p w:rsidR="009B4029" w:rsidRPr="00C917B9" w:rsidRDefault="009B4029" w:rsidP="009B4029">
      <w:pPr>
        <w:jc w:val="both"/>
        <w:rPr>
          <w:b/>
        </w:rPr>
      </w:pPr>
      <w:r w:rsidRPr="006A5B45">
        <w:rPr>
          <w:b/>
        </w:rPr>
        <w:t>Present:</w:t>
      </w:r>
      <w:r w:rsidR="00C917B9">
        <w:rPr>
          <w:b/>
        </w:rPr>
        <w:t xml:space="preserve"> </w:t>
      </w:r>
      <w:r>
        <w:t>Del Weston (Chair)</w:t>
      </w:r>
      <w:r w:rsidR="00C917B9">
        <w:t>,</w:t>
      </w:r>
      <w:r w:rsidR="00C917B9">
        <w:rPr>
          <w:b/>
        </w:rPr>
        <w:t xml:space="preserve"> </w:t>
      </w:r>
      <w:r>
        <w:t>Sophie Moller</w:t>
      </w:r>
      <w:r w:rsidR="00C917B9">
        <w:rPr>
          <w:b/>
        </w:rPr>
        <w:t xml:space="preserve">, </w:t>
      </w:r>
      <w:r w:rsidR="0098615F">
        <w:t xml:space="preserve">Rebecca </w:t>
      </w:r>
      <w:r>
        <w:t>James</w:t>
      </w:r>
    </w:p>
    <w:p w:rsidR="0098615F" w:rsidRDefault="0098615F" w:rsidP="009B4029">
      <w:pPr>
        <w:jc w:val="both"/>
      </w:pPr>
    </w:p>
    <w:p w:rsidR="009B4029" w:rsidRPr="00C716D3" w:rsidRDefault="009B4029" w:rsidP="009B4029">
      <w:pPr>
        <w:jc w:val="both"/>
      </w:pPr>
      <w:r w:rsidRPr="006A5B45">
        <w:rPr>
          <w:b/>
        </w:rPr>
        <w:t>Apologies:</w:t>
      </w:r>
      <w:r w:rsidR="00C716D3">
        <w:rPr>
          <w:b/>
        </w:rPr>
        <w:t xml:space="preserve"> </w:t>
      </w:r>
      <w:r w:rsidR="00C716D3" w:rsidRPr="00C716D3">
        <w:t>Nancy Tucker, Eleanor Sgherza</w:t>
      </w:r>
      <w:r w:rsidR="00C917B9">
        <w:t>, Imma Farre, Chris Eoannidis, Estelle de San Miguel, David James</w:t>
      </w:r>
    </w:p>
    <w:p w:rsidR="009B4029" w:rsidRDefault="009B4029" w:rsidP="009B4029">
      <w:pPr>
        <w:jc w:val="both"/>
      </w:pPr>
    </w:p>
    <w:p w:rsidR="009B4029" w:rsidRPr="000401CA" w:rsidRDefault="009B4029" w:rsidP="009B4029">
      <w:pPr>
        <w:numPr>
          <w:ilvl w:val="0"/>
          <w:numId w:val="6"/>
        </w:numPr>
        <w:jc w:val="both"/>
        <w:rPr>
          <w:b/>
        </w:rPr>
      </w:pPr>
      <w:r w:rsidRPr="000401CA">
        <w:rPr>
          <w:b/>
        </w:rPr>
        <w:t>Minutes of the previous meeting</w:t>
      </w:r>
    </w:p>
    <w:p w:rsidR="009B4029" w:rsidRDefault="009B4029" w:rsidP="009B4029">
      <w:pPr>
        <w:jc w:val="both"/>
      </w:pPr>
    </w:p>
    <w:p w:rsidR="009B4029" w:rsidRDefault="00C917B9" w:rsidP="009B4029">
      <w:pPr>
        <w:jc w:val="both"/>
      </w:pPr>
      <w:r>
        <w:t>Sophie</w:t>
      </w:r>
      <w:r w:rsidR="009B4029">
        <w:t xml:space="preserve"> nominated the minutes of the previous meeting as a true record and </w:t>
      </w:r>
      <w:r>
        <w:t>Del</w:t>
      </w:r>
      <w:r w:rsidR="009B4029">
        <w:t xml:space="preserve"> seconded them.</w:t>
      </w:r>
    </w:p>
    <w:p w:rsidR="00F030BB" w:rsidRDefault="00F030BB" w:rsidP="009B4029">
      <w:pPr>
        <w:jc w:val="both"/>
      </w:pPr>
    </w:p>
    <w:p w:rsidR="00F030BB" w:rsidRDefault="00C917B9" w:rsidP="00F030BB">
      <w:pPr>
        <w:numPr>
          <w:ilvl w:val="0"/>
          <w:numId w:val="6"/>
        </w:numPr>
        <w:jc w:val="both"/>
        <w:rPr>
          <w:b/>
        </w:rPr>
      </w:pPr>
      <w:r>
        <w:rPr>
          <w:b/>
        </w:rPr>
        <w:t>Meeting with East Fremantle Council</w:t>
      </w:r>
    </w:p>
    <w:p w:rsidR="00C917B9" w:rsidRDefault="00C917B9" w:rsidP="009B4029">
      <w:pPr>
        <w:jc w:val="both"/>
      </w:pPr>
      <w:r>
        <w:t>Del advised that she had contacted Shelley Cox regarding meeting with the East Fremantle Council to work on securing a site.  Shelley said they have written to WAPC seeking a peppercorn lease for the land on corner of Oakover St and Canning Hwy.  We will await the outcome of the request prior to meeting with council.</w:t>
      </w:r>
    </w:p>
    <w:p w:rsidR="00C917B9" w:rsidRDefault="00C917B9" w:rsidP="009B4029">
      <w:pPr>
        <w:jc w:val="both"/>
      </w:pPr>
    </w:p>
    <w:p w:rsidR="00F030BB" w:rsidRPr="0098366D" w:rsidRDefault="00C917B9" w:rsidP="009B4029">
      <w:pPr>
        <w:jc w:val="both"/>
        <w:rPr>
          <w:rFonts w:ascii="Times New Roman Bold" w:hAnsi="Times New Roman Bold"/>
        </w:rPr>
      </w:pPr>
      <w:r w:rsidRPr="0098366D">
        <w:rPr>
          <w:rFonts w:ascii="Times New Roman Bold" w:hAnsi="Times New Roman Bold"/>
        </w:rPr>
        <w:t>Action: Del to email Shelley Cox to voice EFF support of securing the Oakover/Canning Hwy site.</w:t>
      </w:r>
    </w:p>
    <w:p w:rsidR="009B4029" w:rsidRDefault="009B4029" w:rsidP="009B4029">
      <w:pPr>
        <w:jc w:val="both"/>
      </w:pPr>
    </w:p>
    <w:p w:rsidR="009B4029" w:rsidRDefault="00C917B9" w:rsidP="00F030BB">
      <w:pPr>
        <w:numPr>
          <w:ilvl w:val="0"/>
          <w:numId w:val="6"/>
        </w:numPr>
        <w:jc w:val="both"/>
        <w:rPr>
          <w:b/>
        </w:rPr>
      </w:pPr>
      <w:bookmarkStart w:id="0" w:name="OLE_LINK1"/>
      <w:bookmarkStart w:id="1" w:name="OLE_LINK2"/>
      <w:r>
        <w:rPr>
          <w:b/>
        </w:rPr>
        <w:t>Potential Sites</w:t>
      </w:r>
    </w:p>
    <w:bookmarkEnd w:id="0"/>
    <w:bookmarkEnd w:id="1"/>
    <w:p w:rsidR="009B4029" w:rsidRDefault="00C917B9" w:rsidP="009B4029">
      <w:pPr>
        <w:jc w:val="both"/>
      </w:pPr>
      <w:r>
        <w:t>It was agreed that we would await the WAPC decision on the Oakover/Canning site before researching other possibilities.  Chris had asked that Cantonment Hill be tabled for consideration.  It was generally felt this was too far outside of the East Fremantle locality but would be kept in mind if options dwindle.  Another possible site raised was the land behind Nine Seeds Café on Marmion St (although technically in City of Fremantle)</w:t>
      </w:r>
      <w:r w:rsidR="0098366D">
        <w:t>.</w:t>
      </w:r>
    </w:p>
    <w:p w:rsidR="0061213E" w:rsidRDefault="0061213E" w:rsidP="009B4029">
      <w:pPr>
        <w:jc w:val="both"/>
      </w:pPr>
    </w:p>
    <w:p w:rsidR="0061213E" w:rsidRPr="0061213E" w:rsidRDefault="0098366D" w:rsidP="0061213E">
      <w:pPr>
        <w:numPr>
          <w:ilvl w:val="0"/>
          <w:numId w:val="6"/>
        </w:numPr>
        <w:jc w:val="both"/>
        <w:rPr>
          <w:b/>
        </w:rPr>
      </w:pPr>
      <w:r>
        <w:rPr>
          <w:b/>
        </w:rPr>
        <w:t>Newsletter</w:t>
      </w:r>
    </w:p>
    <w:p w:rsidR="009B4029" w:rsidRDefault="0098366D" w:rsidP="009B4029">
      <w:pPr>
        <w:jc w:val="both"/>
      </w:pPr>
      <w:r>
        <w:t>Del currently finalising the newsletter with assistance from Sheelagh.  Little Design Farm will be used for the design/printing.  Agreed on 400 copies and all current members to receive a hard copy (hand delivered in East Freo and posted otherwise).  Need to formalise the old distribution list.</w:t>
      </w:r>
    </w:p>
    <w:p w:rsidR="0061213E" w:rsidRDefault="0061213E" w:rsidP="009B4029">
      <w:pPr>
        <w:jc w:val="both"/>
      </w:pPr>
    </w:p>
    <w:p w:rsidR="008769D8" w:rsidRDefault="00B130F0" w:rsidP="0098366D">
      <w:pPr>
        <w:jc w:val="both"/>
        <w:rPr>
          <w:b/>
        </w:rPr>
      </w:pPr>
      <w:r>
        <w:rPr>
          <w:b/>
        </w:rPr>
        <w:t xml:space="preserve">Action: </w:t>
      </w:r>
      <w:r w:rsidR="0098366D">
        <w:rPr>
          <w:b/>
        </w:rPr>
        <w:t xml:space="preserve">Beck to type up </w:t>
      </w:r>
      <w:r w:rsidR="008769D8">
        <w:rPr>
          <w:b/>
        </w:rPr>
        <w:t xml:space="preserve">newsletter </w:t>
      </w:r>
      <w:r w:rsidR="0098366D">
        <w:rPr>
          <w:b/>
        </w:rPr>
        <w:t>distribution list from last time.</w:t>
      </w: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8769D8" w:rsidRDefault="008769D8" w:rsidP="0098366D">
      <w:pPr>
        <w:jc w:val="both"/>
        <w:rPr>
          <w:b/>
        </w:rPr>
      </w:pPr>
    </w:p>
    <w:p w:rsidR="00612616" w:rsidRDefault="00612616" w:rsidP="0098366D">
      <w:pPr>
        <w:jc w:val="both"/>
      </w:pPr>
    </w:p>
    <w:p w:rsidR="00CE0765" w:rsidRDefault="00CE0765" w:rsidP="009B4029">
      <w:pPr>
        <w:jc w:val="both"/>
      </w:pPr>
    </w:p>
    <w:p w:rsidR="00612616" w:rsidRDefault="0098366D" w:rsidP="00612616">
      <w:pPr>
        <w:numPr>
          <w:ilvl w:val="0"/>
          <w:numId w:val="6"/>
        </w:numPr>
        <w:jc w:val="both"/>
        <w:rPr>
          <w:b/>
        </w:rPr>
      </w:pPr>
      <w:r>
        <w:rPr>
          <w:b/>
        </w:rPr>
        <w:t>Treasurer’s Report</w:t>
      </w:r>
    </w:p>
    <w:p w:rsidR="0098366D" w:rsidRDefault="0098366D" w:rsidP="00612616">
      <w:pPr>
        <w:jc w:val="both"/>
      </w:pPr>
      <w:r>
        <w:t>The following Treasurer’s Report was received from Dave:</w:t>
      </w:r>
    </w:p>
    <w:p w:rsidR="0098366D" w:rsidRDefault="0098366D" w:rsidP="0098366D">
      <w:pPr>
        <w:widowControl w:val="0"/>
        <w:autoSpaceDE w:val="0"/>
        <w:autoSpaceDN w:val="0"/>
        <w:adjustRightInd w:val="0"/>
        <w:rPr>
          <w:rFonts w:ascii="Arial" w:hAnsi="Arial" w:cs="Arial"/>
          <w:b/>
          <w:bCs/>
          <w:color w:val="000072"/>
          <w:sz w:val="26"/>
          <w:szCs w:val="26"/>
        </w:rPr>
      </w:pP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Treasurer’s report Feb 2011</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Bank Reconciliation for period 17/10/2010 (last report) to 22/2/11</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Income</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Nil</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Expenses</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Postage and envelopes   $16.60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xml:space="preserve">CBA bank fees              </w:t>
      </w:r>
      <w:r>
        <w:rPr>
          <w:rFonts w:ascii="Arial" w:hAnsi="Arial" w:cs="Arial"/>
          <w:color w:val="000072"/>
          <w:sz w:val="26"/>
          <w:szCs w:val="26"/>
          <w:u w:val="single"/>
        </w:rPr>
        <w:t>$24.00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Total expenses              $40.60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Cheque and cash balance as at 17/10/11             $353.70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Net cashflow                                                      -$40.60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CBA bank balance as at 22/2/11                         $246.00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xml:space="preserve">Cash on hand                                                    </w:t>
      </w:r>
      <w:r>
        <w:rPr>
          <w:rFonts w:ascii="Arial" w:hAnsi="Arial" w:cs="Arial"/>
          <w:color w:val="000072"/>
          <w:sz w:val="26"/>
          <w:szCs w:val="26"/>
          <w:u w:val="single"/>
        </w:rPr>
        <w:t>$  67.10</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Total funds held as at 22/2/11</w:t>
      </w:r>
      <w:r>
        <w:rPr>
          <w:rFonts w:ascii="Arial" w:hAnsi="Arial" w:cs="Arial"/>
          <w:color w:val="000072"/>
          <w:sz w:val="26"/>
          <w:szCs w:val="26"/>
        </w:rPr>
        <w:t xml:space="preserve">                          </w:t>
      </w:r>
      <w:r>
        <w:rPr>
          <w:rFonts w:ascii="Arial" w:hAnsi="Arial" w:cs="Arial"/>
          <w:b/>
          <w:bCs/>
          <w:color w:val="000072"/>
          <w:sz w:val="26"/>
          <w:szCs w:val="26"/>
        </w:rPr>
        <w:t>$313.10</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Difference                                                          nil</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autoSpaceDE w:val="0"/>
        <w:autoSpaceDN w:val="0"/>
        <w:adjustRightInd w:val="0"/>
        <w:rPr>
          <w:sz w:val="32"/>
          <w:szCs w:val="32"/>
        </w:rPr>
      </w:pPr>
      <w:r>
        <w:rPr>
          <w:rFonts w:ascii="Arial" w:hAnsi="Arial" w:cs="Arial"/>
          <w:b/>
          <w:bCs/>
          <w:color w:val="000072"/>
          <w:sz w:val="26"/>
          <w:szCs w:val="26"/>
        </w:rPr>
        <w:t>Other matters</w:t>
      </w:r>
    </w:p>
    <w:p w:rsidR="0098366D" w:rsidRDefault="0098366D" w:rsidP="0098366D">
      <w:pPr>
        <w:widowControl w:val="0"/>
        <w:autoSpaceDE w:val="0"/>
        <w:autoSpaceDN w:val="0"/>
        <w:adjustRightInd w:val="0"/>
        <w:rPr>
          <w:sz w:val="32"/>
          <w:szCs w:val="32"/>
        </w:rPr>
      </w:pPr>
      <w:r>
        <w:rPr>
          <w:rFonts w:ascii="Arial" w:hAnsi="Arial" w:cs="Arial"/>
          <w:color w:val="000072"/>
          <w:sz w:val="26"/>
          <w:szCs w:val="26"/>
        </w:rPr>
        <w:t> </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Society Bank account opened with CBA on 23/11/10 with an opening deposit of $270.00. Signatories are David James, Rebecca James, Del Watson and Sophie Moller (two to sign jointly).</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Invoice issued to Fremantle Ports in Dec 2010 for $2,100.00 not yet paid – to be followed up.</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Invoice issued to South Metro Public Health for $60.00 in Dec 2010 not paid – to be followed up.</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GST registration to be cancelled – check with Chris this has been actioned. Form left with him to sign and send off last month. (email sent 22/2/11 checking on progress of this).</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GST lodgement due 28/2/11 if cancellation not completed.</w:t>
      </w:r>
    </w:p>
    <w:p w:rsidR="0098366D" w:rsidRDefault="0098366D" w:rsidP="0098366D">
      <w:pPr>
        <w:widowControl w:val="0"/>
        <w:numPr>
          <w:ilvl w:val="0"/>
          <w:numId w:val="8"/>
        </w:numPr>
        <w:tabs>
          <w:tab w:val="left" w:pos="220"/>
          <w:tab w:val="left" w:pos="720"/>
        </w:tabs>
        <w:autoSpaceDE w:val="0"/>
        <w:autoSpaceDN w:val="0"/>
        <w:adjustRightInd w:val="0"/>
        <w:ind w:hanging="720"/>
        <w:rPr>
          <w:color w:val="000072"/>
          <w:sz w:val="32"/>
          <w:szCs w:val="32"/>
        </w:rPr>
      </w:pPr>
      <w:r>
        <w:rPr>
          <w:rFonts w:ascii="Arial" w:hAnsi="Arial" w:cs="Arial"/>
          <w:color w:val="000072"/>
          <w:sz w:val="26"/>
          <w:szCs w:val="26"/>
        </w:rPr>
        <w:t>Bank fees of $8 per month being charged for netbank – a business banking internet access plan that we do not use or need. I am not sure how this got onto our account. I have discussed this with the Bank and they will arrange to refund the fees and cancel this so we don’t get charged in the future. I will confirm at the next meeting.</w:t>
      </w:r>
    </w:p>
    <w:p w:rsidR="0098366D" w:rsidRDefault="0098366D" w:rsidP="00612616">
      <w:pPr>
        <w:jc w:val="both"/>
      </w:pPr>
      <w:r>
        <w:t>End of Report.</w:t>
      </w:r>
    </w:p>
    <w:p w:rsidR="0098366D" w:rsidRDefault="0098366D" w:rsidP="00612616">
      <w:pPr>
        <w:jc w:val="both"/>
      </w:pPr>
    </w:p>
    <w:p w:rsidR="00F15251" w:rsidRDefault="0098366D" w:rsidP="00612616">
      <w:pPr>
        <w:jc w:val="both"/>
      </w:pPr>
      <w:r>
        <w:t>In addition, Chris has provided documentation to show that our GST registration has been backdated to our registration date so we are no longer registered for GST.</w:t>
      </w:r>
      <w:r w:rsidR="00B6341D">
        <w:t xml:space="preserve">  Rebecca has also followed up on the Fremantle Ports invoice so that should be paid shortly.  Group agreed not to pursue the SMPHU outstanding $60.</w:t>
      </w:r>
    </w:p>
    <w:p w:rsidR="00F15251" w:rsidRPr="00D351B0" w:rsidRDefault="00F15251" w:rsidP="00612616">
      <w:pPr>
        <w:jc w:val="both"/>
        <w:rPr>
          <w:b/>
        </w:rPr>
      </w:pPr>
    </w:p>
    <w:p w:rsidR="00D351B0" w:rsidRDefault="00F15251" w:rsidP="00612616">
      <w:pPr>
        <w:jc w:val="both"/>
        <w:rPr>
          <w:b/>
        </w:rPr>
      </w:pPr>
      <w:r w:rsidRPr="00D351B0">
        <w:rPr>
          <w:b/>
        </w:rPr>
        <w:t xml:space="preserve">Action: </w:t>
      </w:r>
      <w:r w:rsidR="00B6341D">
        <w:rPr>
          <w:b/>
        </w:rPr>
        <w:t>Dave to confirm fee refund from the bank.</w:t>
      </w:r>
    </w:p>
    <w:p w:rsidR="00D351B0" w:rsidRPr="00D351B0" w:rsidRDefault="00D351B0" w:rsidP="00612616">
      <w:pPr>
        <w:jc w:val="both"/>
        <w:rPr>
          <w:b/>
        </w:rPr>
      </w:pPr>
      <w:r>
        <w:rPr>
          <w:b/>
        </w:rPr>
        <w:t xml:space="preserve">Action: </w:t>
      </w:r>
      <w:r w:rsidR="00B6341D">
        <w:rPr>
          <w:b/>
        </w:rPr>
        <w:t>Rebecca to pursue Fremantle Ports payment</w:t>
      </w:r>
    </w:p>
    <w:p w:rsidR="00351C1C" w:rsidRDefault="00351C1C" w:rsidP="00612616">
      <w:pPr>
        <w:jc w:val="both"/>
      </w:pPr>
    </w:p>
    <w:p w:rsidR="00351C1C" w:rsidRPr="005A36D8" w:rsidRDefault="00B6341D" w:rsidP="00351C1C">
      <w:pPr>
        <w:numPr>
          <w:ilvl w:val="0"/>
          <w:numId w:val="6"/>
        </w:numPr>
        <w:jc w:val="both"/>
        <w:rPr>
          <w:b/>
        </w:rPr>
      </w:pPr>
      <w:r>
        <w:rPr>
          <w:b/>
        </w:rPr>
        <w:t>Club Activities/Year Ahead</w:t>
      </w:r>
    </w:p>
    <w:p w:rsidR="00994E2E" w:rsidRDefault="00B6341D" w:rsidP="00351C1C">
      <w:pPr>
        <w:jc w:val="both"/>
      </w:pPr>
      <w:r>
        <w:t xml:space="preserve">Del proposed we try one more film night to see if it gets supported.  Idea (if a kid friendly movie) is to come at 6pm with dinner for a 6:30pm start.  </w:t>
      </w:r>
    </w:p>
    <w:p w:rsidR="00994E2E" w:rsidRDefault="00994E2E" w:rsidP="00351C1C">
      <w:pPr>
        <w:jc w:val="both"/>
      </w:pPr>
    </w:p>
    <w:p w:rsidR="006B2037" w:rsidRDefault="00B6341D" w:rsidP="00351C1C">
      <w:pPr>
        <w:jc w:val="both"/>
      </w:pPr>
      <w:r>
        <w:t>Other day planned for the short term is an olive pickling day proposed for Sunday March 13</w:t>
      </w:r>
      <w:r w:rsidRPr="00B6341D">
        <w:rPr>
          <w:vertAlign w:val="superscript"/>
        </w:rPr>
        <w:t>th</w:t>
      </w:r>
      <w:r>
        <w:t>.  All welcome to come and learn how to preserve olives.</w:t>
      </w:r>
      <w:r w:rsidR="00994E2E">
        <w:t xml:space="preserve">  </w:t>
      </w:r>
    </w:p>
    <w:p w:rsidR="006B2037" w:rsidRDefault="006B2037" w:rsidP="00351C1C">
      <w:pPr>
        <w:jc w:val="both"/>
      </w:pPr>
    </w:p>
    <w:p w:rsidR="00994E2E" w:rsidRDefault="006B2037" w:rsidP="00351C1C">
      <w:pPr>
        <w:jc w:val="both"/>
      </w:pPr>
      <w:r>
        <w:t>Beck proposed our members join in one of Hilton Harvest Busy Bee days.  Decided to wait for cooler weather.</w:t>
      </w:r>
    </w:p>
    <w:p w:rsidR="00994E2E" w:rsidRDefault="00994E2E" w:rsidP="00351C1C">
      <w:pPr>
        <w:jc w:val="both"/>
      </w:pPr>
    </w:p>
    <w:p w:rsidR="00351C1C" w:rsidRDefault="00994E2E" w:rsidP="00351C1C">
      <w:pPr>
        <w:jc w:val="both"/>
      </w:pPr>
      <w:r>
        <w:t>Beck proposed we seek people’s permission to set up demonstration plots on unused private land in prominent places with an East Freo Farm Inc sign.  Agreed to start small by approaching the owners of cnr Petra and Millenden for the small corner walled piece of dirt.</w:t>
      </w:r>
    </w:p>
    <w:p w:rsidR="00D351B0" w:rsidRDefault="00D351B0" w:rsidP="00351C1C">
      <w:pPr>
        <w:jc w:val="both"/>
      </w:pPr>
    </w:p>
    <w:p w:rsidR="00B6341D" w:rsidRDefault="00351C1C" w:rsidP="00612616">
      <w:pPr>
        <w:jc w:val="both"/>
        <w:rPr>
          <w:b/>
        </w:rPr>
      </w:pPr>
      <w:r w:rsidRPr="00D351B0">
        <w:rPr>
          <w:b/>
        </w:rPr>
        <w:t xml:space="preserve">Action: </w:t>
      </w:r>
      <w:r w:rsidR="00B6341D">
        <w:rPr>
          <w:b/>
        </w:rPr>
        <w:t>Del to contact Sharni for a movie suggestion and confirm date booked with Glyde In.</w:t>
      </w:r>
    </w:p>
    <w:p w:rsidR="00B6341D" w:rsidRDefault="00B6341D" w:rsidP="00612616">
      <w:pPr>
        <w:jc w:val="both"/>
        <w:rPr>
          <w:b/>
        </w:rPr>
      </w:pPr>
      <w:r>
        <w:rPr>
          <w:b/>
        </w:rPr>
        <w:t xml:space="preserve">Action: Beck to contact her neighbour Tony to see if he is interested in assisting in showing the </w:t>
      </w:r>
      <w:r w:rsidR="008769D8">
        <w:rPr>
          <w:b/>
        </w:rPr>
        <w:t xml:space="preserve">olive </w:t>
      </w:r>
      <w:r>
        <w:rPr>
          <w:b/>
        </w:rPr>
        <w:t>process on the day.</w:t>
      </w:r>
    </w:p>
    <w:p w:rsidR="00B6341D" w:rsidRDefault="00B6341D" w:rsidP="00612616">
      <w:pPr>
        <w:jc w:val="both"/>
        <w:rPr>
          <w:b/>
        </w:rPr>
      </w:pPr>
      <w:r>
        <w:rPr>
          <w:b/>
        </w:rPr>
        <w:t xml:space="preserve">Action: Del to book Glyde In </w:t>
      </w:r>
      <w:r w:rsidR="008769D8">
        <w:rPr>
          <w:b/>
        </w:rPr>
        <w:t xml:space="preserve">for olive day </w:t>
      </w:r>
      <w:r>
        <w:rPr>
          <w:b/>
        </w:rPr>
        <w:t>and advertise in newsletter.</w:t>
      </w:r>
    </w:p>
    <w:p w:rsidR="00994E2E" w:rsidRDefault="00B6341D" w:rsidP="00612616">
      <w:pPr>
        <w:jc w:val="both"/>
        <w:rPr>
          <w:b/>
        </w:rPr>
      </w:pPr>
      <w:r>
        <w:rPr>
          <w:b/>
        </w:rPr>
        <w:t>Action: Del/Sophie/Beck – investigate sources of olives</w:t>
      </w:r>
      <w:r w:rsidR="00994E2E">
        <w:rPr>
          <w:b/>
        </w:rPr>
        <w:t>.</w:t>
      </w:r>
    </w:p>
    <w:p w:rsidR="00351C1C" w:rsidRDefault="00994E2E" w:rsidP="00612616">
      <w:pPr>
        <w:jc w:val="both"/>
      </w:pPr>
      <w:r>
        <w:rPr>
          <w:b/>
        </w:rPr>
        <w:t>Action: Beck to contact owners of Petra/Millenden land seeking use as demonstration plot.</w:t>
      </w:r>
    </w:p>
    <w:p w:rsidR="00080968" w:rsidRDefault="00080968" w:rsidP="00612616">
      <w:pPr>
        <w:jc w:val="both"/>
      </w:pPr>
    </w:p>
    <w:p w:rsidR="00080968" w:rsidRPr="00080968" w:rsidRDefault="00080968" w:rsidP="00080968">
      <w:pPr>
        <w:numPr>
          <w:ilvl w:val="0"/>
          <w:numId w:val="6"/>
        </w:numPr>
        <w:jc w:val="both"/>
        <w:rPr>
          <w:b/>
        </w:rPr>
      </w:pPr>
      <w:r w:rsidRPr="00080968">
        <w:rPr>
          <w:b/>
        </w:rPr>
        <w:t>Other Business</w:t>
      </w:r>
    </w:p>
    <w:p w:rsidR="00080968" w:rsidRPr="003F64C1" w:rsidRDefault="00080968" w:rsidP="00080968">
      <w:pPr>
        <w:jc w:val="both"/>
        <w:rPr>
          <w:u w:val="single"/>
        </w:rPr>
      </w:pPr>
    </w:p>
    <w:p w:rsidR="00EF365E" w:rsidRDefault="00080968" w:rsidP="009B4029">
      <w:pPr>
        <w:jc w:val="both"/>
      </w:pPr>
      <w:r w:rsidRPr="003F64C1">
        <w:rPr>
          <w:u w:val="single"/>
        </w:rPr>
        <w:t xml:space="preserve">A/ </w:t>
      </w:r>
      <w:r w:rsidR="00994E2E">
        <w:rPr>
          <w:u w:val="single"/>
        </w:rPr>
        <w:t>Committee Resignation</w:t>
      </w:r>
      <w:r w:rsidR="00994E2E">
        <w:t xml:space="preserve"> – Del advised that Estelle would be resigning from the committee.</w:t>
      </w:r>
    </w:p>
    <w:p w:rsidR="003F64C1" w:rsidRDefault="003F64C1" w:rsidP="009B4029">
      <w:pPr>
        <w:jc w:val="both"/>
        <w:rPr>
          <w:b/>
        </w:rPr>
      </w:pPr>
    </w:p>
    <w:p w:rsidR="00994E2E" w:rsidRDefault="003F64C1" w:rsidP="009B4029">
      <w:pPr>
        <w:jc w:val="both"/>
      </w:pPr>
      <w:r>
        <w:rPr>
          <w:u w:val="single"/>
        </w:rPr>
        <w:t xml:space="preserve">B/ </w:t>
      </w:r>
      <w:r w:rsidR="00994E2E">
        <w:rPr>
          <w:u w:val="single"/>
        </w:rPr>
        <w:t>LotteryWest</w:t>
      </w:r>
      <w:r>
        <w:t xml:space="preserve"> </w:t>
      </w:r>
      <w:r w:rsidR="00994E2E">
        <w:t>–</w:t>
      </w:r>
      <w:r>
        <w:t xml:space="preserve"> </w:t>
      </w:r>
      <w:r w:rsidR="00994E2E">
        <w:t>Del suggested we should start getting some funding in place for when we get a site.</w:t>
      </w:r>
    </w:p>
    <w:p w:rsidR="00994E2E" w:rsidRDefault="00994E2E" w:rsidP="009B4029">
      <w:pPr>
        <w:jc w:val="both"/>
      </w:pPr>
    </w:p>
    <w:p w:rsidR="003F64C1" w:rsidRPr="00994E2E" w:rsidRDefault="00994E2E" w:rsidP="009B4029">
      <w:pPr>
        <w:jc w:val="both"/>
        <w:rPr>
          <w:rFonts w:ascii="Times New Roman Bold" w:hAnsi="Times New Roman Bold"/>
        </w:rPr>
      </w:pPr>
      <w:r w:rsidRPr="00994E2E">
        <w:rPr>
          <w:rFonts w:ascii="Times New Roman Bold" w:hAnsi="Times New Roman Bold"/>
        </w:rPr>
        <w:t xml:space="preserve">Action: Del to enquire with LotteryWest the </w:t>
      </w:r>
      <w:r w:rsidR="008769D8">
        <w:rPr>
          <w:rFonts w:ascii="Times New Roman Bold" w:hAnsi="Times New Roman Bold"/>
        </w:rPr>
        <w:t xml:space="preserve">application </w:t>
      </w:r>
      <w:r w:rsidRPr="00994E2E">
        <w:rPr>
          <w:rFonts w:ascii="Times New Roman Bold" w:hAnsi="Times New Roman Bold"/>
        </w:rPr>
        <w:t>process and if we need to wait for a site before we apply.</w:t>
      </w:r>
    </w:p>
    <w:p w:rsidR="009B4029" w:rsidRDefault="009B4029" w:rsidP="009B4029">
      <w:pPr>
        <w:jc w:val="both"/>
      </w:pPr>
    </w:p>
    <w:p w:rsidR="009B4029" w:rsidRDefault="009B4029" w:rsidP="009B4029">
      <w:pPr>
        <w:jc w:val="both"/>
      </w:pPr>
    </w:p>
    <w:p w:rsidR="009B4029" w:rsidRPr="00707EB7" w:rsidRDefault="00D33792" w:rsidP="00D33792">
      <w:pPr>
        <w:numPr>
          <w:ilvl w:val="0"/>
          <w:numId w:val="6"/>
        </w:numPr>
        <w:jc w:val="both"/>
        <w:rPr>
          <w:b/>
        </w:rPr>
      </w:pPr>
      <w:r w:rsidRPr="00707EB7">
        <w:rPr>
          <w:b/>
        </w:rPr>
        <w:t>Next Meeting</w:t>
      </w:r>
    </w:p>
    <w:p w:rsidR="00D33792" w:rsidRDefault="00994E2E" w:rsidP="00D33792">
      <w:pPr>
        <w:jc w:val="both"/>
      </w:pPr>
      <w:r>
        <w:t>Agreed we would try and alternate between weekends and weekday nights for meetings.</w:t>
      </w:r>
    </w:p>
    <w:p w:rsidR="00D66849" w:rsidRDefault="00D66849" w:rsidP="00D33792">
      <w:pPr>
        <w:jc w:val="both"/>
      </w:pPr>
    </w:p>
    <w:p w:rsidR="00994E2E" w:rsidRDefault="00994E2E" w:rsidP="00D33792">
      <w:pPr>
        <w:jc w:val="both"/>
        <w:rPr>
          <w:b/>
        </w:rPr>
      </w:pPr>
      <w:r>
        <w:rPr>
          <w:b/>
        </w:rPr>
        <w:t>Next meetings – Sunday 10</w:t>
      </w:r>
      <w:r w:rsidRPr="00994E2E">
        <w:rPr>
          <w:b/>
          <w:vertAlign w:val="superscript"/>
        </w:rPr>
        <w:t>th</w:t>
      </w:r>
      <w:r>
        <w:rPr>
          <w:b/>
        </w:rPr>
        <w:t xml:space="preserve"> April 10:00am at Sophie’s house (kids welcome)</w:t>
      </w:r>
    </w:p>
    <w:p w:rsidR="00D66849" w:rsidRPr="00707EB7" w:rsidRDefault="00994E2E" w:rsidP="00D33792">
      <w:pPr>
        <w:jc w:val="both"/>
        <w:rPr>
          <w:b/>
        </w:rPr>
      </w:pPr>
      <w:r>
        <w:rPr>
          <w:b/>
        </w:rPr>
        <w:tab/>
      </w:r>
      <w:r>
        <w:rPr>
          <w:b/>
        </w:rPr>
        <w:tab/>
        <w:t xml:space="preserve">    </w:t>
      </w:r>
      <w:r w:rsidR="008769D8">
        <w:rPr>
          <w:b/>
        </w:rPr>
        <w:t>Wednesday 25</w:t>
      </w:r>
      <w:r w:rsidR="008769D8" w:rsidRPr="008769D8">
        <w:rPr>
          <w:b/>
          <w:vertAlign w:val="superscript"/>
        </w:rPr>
        <w:t>th</w:t>
      </w:r>
      <w:r w:rsidR="008769D8">
        <w:rPr>
          <w:b/>
        </w:rPr>
        <w:t xml:space="preserve"> May 7:30pm at Del’s House</w:t>
      </w:r>
    </w:p>
    <w:p w:rsidR="009B4029" w:rsidRDefault="009B4029" w:rsidP="009B4029">
      <w:pPr>
        <w:jc w:val="both"/>
      </w:pPr>
    </w:p>
    <w:p w:rsidR="009B4029" w:rsidRPr="000E16BD" w:rsidRDefault="009B4029" w:rsidP="009B4029">
      <w:pPr>
        <w:jc w:val="both"/>
        <w:rPr>
          <w:b/>
        </w:rPr>
      </w:pPr>
    </w:p>
    <w:p w:rsidR="009B4029" w:rsidRPr="00BD0971" w:rsidRDefault="00BD0971" w:rsidP="009B4029">
      <w:pPr>
        <w:jc w:val="both"/>
        <w:rPr>
          <w:i/>
        </w:rPr>
      </w:pPr>
      <w:r w:rsidRPr="00BD0971">
        <w:rPr>
          <w:i/>
        </w:rPr>
        <w:t>Outstanding Actions Attached</w:t>
      </w:r>
    </w:p>
    <w:p w:rsidR="009B4029" w:rsidRPr="00C334B3" w:rsidRDefault="009B4029" w:rsidP="009B4029">
      <w:pPr>
        <w:jc w:val="both"/>
      </w:pPr>
    </w:p>
    <w:p w:rsidR="009B4029" w:rsidRDefault="009B4029" w:rsidP="009B4029">
      <w:pPr>
        <w:jc w:val="both"/>
      </w:pPr>
    </w:p>
    <w:p w:rsidR="006B2037" w:rsidRDefault="00BD0971" w:rsidP="009B4029">
      <w:pPr>
        <w:jc w:val="both"/>
        <w:rPr>
          <w:b/>
          <w:sz w:val="28"/>
          <w:szCs w:val="28"/>
        </w:rPr>
      </w:pPr>
      <w:r w:rsidRPr="00BD0971">
        <w:rPr>
          <w:b/>
          <w:sz w:val="28"/>
          <w:szCs w:val="28"/>
        </w:rPr>
        <w:t>Outstanding Actions</w:t>
      </w:r>
    </w:p>
    <w:p w:rsidR="00BD0971" w:rsidRPr="006B2037" w:rsidRDefault="00BD0971" w:rsidP="009B4029">
      <w:pPr>
        <w:jc w:val="both"/>
        <w:rPr>
          <w:b/>
          <w:sz w:val="28"/>
          <w:szCs w:val="28"/>
        </w:rPr>
      </w:pPr>
    </w:p>
    <w:tbl>
      <w:tblPr>
        <w:tblStyle w:val="TableGrid"/>
        <w:tblW w:w="9889" w:type="dxa"/>
        <w:tblLook w:val="04A0"/>
      </w:tblPr>
      <w:tblGrid>
        <w:gridCol w:w="8033"/>
        <w:gridCol w:w="1856"/>
      </w:tblGrid>
      <w:tr w:rsidR="0026729B" w:rsidRPr="0026729B">
        <w:tc>
          <w:tcPr>
            <w:tcW w:w="8046" w:type="dxa"/>
          </w:tcPr>
          <w:p w:rsidR="0026729B" w:rsidRPr="0026729B" w:rsidRDefault="0026729B" w:rsidP="009B4029">
            <w:pPr>
              <w:jc w:val="both"/>
              <w:rPr>
                <w:b/>
              </w:rPr>
            </w:pPr>
            <w:r w:rsidRPr="0026729B">
              <w:rPr>
                <w:b/>
              </w:rPr>
              <w:t>Action</w:t>
            </w:r>
          </w:p>
        </w:tc>
        <w:tc>
          <w:tcPr>
            <w:tcW w:w="1843" w:type="dxa"/>
          </w:tcPr>
          <w:p w:rsidR="0026729B" w:rsidRPr="0026729B" w:rsidRDefault="0026729B" w:rsidP="009B4029">
            <w:pPr>
              <w:jc w:val="both"/>
              <w:rPr>
                <w:b/>
              </w:rPr>
            </w:pPr>
            <w:r w:rsidRPr="0026729B">
              <w:rPr>
                <w:b/>
              </w:rPr>
              <w:t>Who</w:t>
            </w:r>
          </w:p>
        </w:tc>
      </w:tr>
      <w:tr w:rsidR="0026729B" w:rsidRPr="00817976">
        <w:tc>
          <w:tcPr>
            <w:tcW w:w="8046" w:type="dxa"/>
          </w:tcPr>
          <w:p w:rsidR="0068179A" w:rsidRPr="00817976" w:rsidRDefault="0068179A" w:rsidP="0068179A">
            <w:pPr>
              <w:jc w:val="both"/>
            </w:pPr>
          </w:p>
          <w:p w:rsidR="0026729B" w:rsidRPr="00817976" w:rsidRDefault="006B2037" w:rsidP="009B4029">
            <w:pPr>
              <w:jc w:val="both"/>
            </w:pPr>
            <w:r>
              <w:rPr>
                <w:rFonts w:ascii="Times New Roman Bold" w:hAnsi="Times New Roman Bold"/>
              </w:rPr>
              <w:t>E</w:t>
            </w:r>
            <w:r w:rsidR="008769D8" w:rsidRPr="0098366D">
              <w:rPr>
                <w:rFonts w:ascii="Times New Roman Bold" w:hAnsi="Times New Roman Bold"/>
              </w:rPr>
              <w:t>mail Shelley Cox to voice EFF support of securing the Oakover/Canning Hwy site.</w:t>
            </w:r>
          </w:p>
        </w:tc>
        <w:tc>
          <w:tcPr>
            <w:tcW w:w="1843" w:type="dxa"/>
          </w:tcPr>
          <w:p w:rsidR="0026729B" w:rsidRPr="00817976" w:rsidRDefault="006B2037" w:rsidP="009B4029">
            <w:pPr>
              <w:jc w:val="both"/>
            </w:pPr>
            <w:r>
              <w:t>Del</w:t>
            </w:r>
          </w:p>
        </w:tc>
      </w:tr>
      <w:tr w:rsidR="0026729B" w:rsidRPr="00817976">
        <w:tc>
          <w:tcPr>
            <w:tcW w:w="8046" w:type="dxa"/>
          </w:tcPr>
          <w:p w:rsidR="0068179A" w:rsidRPr="00817976" w:rsidRDefault="0068179A" w:rsidP="0068179A">
            <w:pPr>
              <w:jc w:val="both"/>
            </w:pPr>
          </w:p>
          <w:p w:rsidR="0026729B" w:rsidRPr="00817976" w:rsidRDefault="006B2037" w:rsidP="009B4029">
            <w:pPr>
              <w:jc w:val="both"/>
            </w:pPr>
            <w:r>
              <w:rPr>
                <w:b/>
              </w:rPr>
              <w:t>T</w:t>
            </w:r>
            <w:r w:rsidR="008769D8">
              <w:rPr>
                <w:b/>
              </w:rPr>
              <w:t>ype up newsletter distribution list from last time.</w:t>
            </w:r>
          </w:p>
        </w:tc>
        <w:tc>
          <w:tcPr>
            <w:tcW w:w="1843" w:type="dxa"/>
          </w:tcPr>
          <w:p w:rsidR="0026729B" w:rsidRPr="00817976" w:rsidRDefault="006B2037" w:rsidP="009B4029">
            <w:pPr>
              <w:jc w:val="both"/>
            </w:pPr>
            <w:r>
              <w:t>Beck</w:t>
            </w:r>
          </w:p>
        </w:tc>
      </w:tr>
      <w:tr w:rsidR="00551683" w:rsidRPr="00817976">
        <w:tc>
          <w:tcPr>
            <w:tcW w:w="8046" w:type="dxa"/>
          </w:tcPr>
          <w:p w:rsidR="00551683" w:rsidRPr="00817976" w:rsidRDefault="00551683" w:rsidP="00551683">
            <w:pPr>
              <w:jc w:val="both"/>
            </w:pPr>
          </w:p>
          <w:p w:rsidR="00551683" w:rsidRPr="00817976" w:rsidRDefault="006B2037" w:rsidP="00551683">
            <w:pPr>
              <w:jc w:val="both"/>
            </w:pPr>
            <w:r>
              <w:rPr>
                <w:b/>
              </w:rPr>
              <w:t>C</w:t>
            </w:r>
            <w:r w:rsidR="008769D8">
              <w:rPr>
                <w:b/>
              </w:rPr>
              <w:t>onfirm fee refund from the bank.</w:t>
            </w:r>
          </w:p>
        </w:tc>
        <w:tc>
          <w:tcPr>
            <w:tcW w:w="1843" w:type="dxa"/>
          </w:tcPr>
          <w:p w:rsidR="00551683" w:rsidRPr="00817976" w:rsidRDefault="006B2037" w:rsidP="00551683">
            <w:pPr>
              <w:jc w:val="both"/>
            </w:pPr>
            <w:r>
              <w:t>Dave</w:t>
            </w:r>
          </w:p>
        </w:tc>
      </w:tr>
      <w:tr w:rsidR="0026729B" w:rsidRPr="00817976">
        <w:tc>
          <w:tcPr>
            <w:tcW w:w="8046" w:type="dxa"/>
          </w:tcPr>
          <w:p w:rsidR="008769D8" w:rsidRDefault="006B2037" w:rsidP="008769D8">
            <w:pPr>
              <w:jc w:val="both"/>
              <w:rPr>
                <w:b/>
              </w:rPr>
            </w:pPr>
            <w:r>
              <w:rPr>
                <w:b/>
              </w:rPr>
              <w:t>P</w:t>
            </w:r>
            <w:r w:rsidR="008769D8">
              <w:rPr>
                <w:b/>
              </w:rPr>
              <w:t>ursue Fremantle Ports payment</w:t>
            </w:r>
          </w:p>
          <w:p w:rsidR="0026729B" w:rsidRPr="00817976" w:rsidRDefault="0026729B" w:rsidP="009B4029">
            <w:pPr>
              <w:jc w:val="both"/>
            </w:pPr>
          </w:p>
        </w:tc>
        <w:tc>
          <w:tcPr>
            <w:tcW w:w="1843" w:type="dxa"/>
          </w:tcPr>
          <w:p w:rsidR="0026729B" w:rsidRPr="00817976" w:rsidRDefault="00CD6BBF" w:rsidP="009B4029">
            <w:pPr>
              <w:jc w:val="both"/>
            </w:pPr>
            <w:r>
              <w:t>Beck</w:t>
            </w:r>
          </w:p>
        </w:tc>
      </w:tr>
      <w:tr w:rsidR="0026729B" w:rsidRPr="00817976">
        <w:tc>
          <w:tcPr>
            <w:tcW w:w="8046" w:type="dxa"/>
          </w:tcPr>
          <w:p w:rsidR="008769D8" w:rsidRDefault="006B2037" w:rsidP="008769D8">
            <w:pPr>
              <w:jc w:val="both"/>
              <w:rPr>
                <w:b/>
              </w:rPr>
            </w:pPr>
            <w:r>
              <w:rPr>
                <w:b/>
              </w:rPr>
              <w:t>C</w:t>
            </w:r>
            <w:r w:rsidR="008769D8">
              <w:rPr>
                <w:b/>
              </w:rPr>
              <w:t>ontact Sharni for a movie suggestion and confirm date booked with Glyde In.</w:t>
            </w:r>
          </w:p>
          <w:p w:rsidR="0026729B" w:rsidRPr="00817976" w:rsidRDefault="0026729B" w:rsidP="009B4029">
            <w:pPr>
              <w:jc w:val="both"/>
            </w:pPr>
          </w:p>
        </w:tc>
        <w:tc>
          <w:tcPr>
            <w:tcW w:w="1843" w:type="dxa"/>
          </w:tcPr>
          <w:p w:rsidR="0026729B" w:rsidRPr="00817976" w:rsidRDefault="00CD6BBF" w:rsidP="009B4029">
            <w:pPr>
              <w:jc w:val="both"/>
            </w:pPr>
            <w:r>
              <w:t>Del</w:t>
            </w:r>
          </w:p>
        </w:tc>
      </w:tr>
      <w:tr w:rsidR="00520DAD" w:rsidRPr="00817976">
        <w:tc>
          <w:tcPr>
            <w:tcW w:w="8046" w:type="dxa"/>
          </w:tcPr>
          <w:p w:rsidR="008769D8" w:rsidRDefault="006B2037" w:rsidP="008769D8">
            <w:pPr>
              <w:jc w:val="both"/>
              <w:rPr>
                <w:b/>
              </w:rPr>
            </w:pPr>
            <w:r>
              <w:rPr>
                <w:b/>
              </w:rPr>
              <w:t>C</w:t>
            </w:r>
            <w:r w:rsidR="008769D8">
              <w:rPr>
                <w:b/>
              </w:rPr>
              <w:t>ontact her neighbour Tony to see if he is interested in assisting in showing the olive process on the day.</w:t>
            </w:r>
          </w:p>
          <w:p w:rsidR="00520DAD" w:rsidRPr="00817976" w:rsidRDefault="00520DAD" w:rsidP="00520DAD">
            <w:pPr>
              <w:jc w:val="both"/>
            </w:pPr>
          </w:p>
        </w:tc>
        <w:tc>
          <w:tcPr>
            <w:tcW w:w="1843" w:type="dxa"/>
          </w:tcPr>
          <w:p w:rsidR="00520DAD" w:rsidRPr="00817976" w:rsidRDefault="006B2037" w:rsidP="00BF7818">
            <w:pPr>
              <w:jc w:val="both"/>
            </w:pPr>
            <w:r>
              <w:t>Beck</w:t>
            </w:r>
          </w:p>
        </w:tc>
      </w:tr>
      <w:tr w:rsidR="00520DAD" w:rsidRPr="00817976">
        <w:tc>
          <w:tcPr>
            <w:tcW w:w="8046" w:type="dxa"/>
          </w:tcPr>
          <w:p w:rsidR="00FE143A" w:rsidRPr="00817976" w:rsidRDefault="00FE143A" w:rsidP="00FE143A">
            <w:pPr>
              <w:jc w:val="both"/>
            </w:pPr>
          </w:p>
          <w:p w:rsidR="008769D8" w:rsidRDefault="006B2037" w:rsidP="008769D8">
            <w:pPr>
              <w:jc w:val="both"/>
              <w:rPr>
                <w:b/>
              </w:rPr>
            </w:pPr>
            <w:r>
              <w:rPr>
                <w:b/>
              </w:rPr>
              <w:t>B</w:t>
            </w:r>
            <w:r w:rsidR="008769D8">
              <w:rPr>
                <w:b/>
              </w:rPr>
              <w:t>ook Glyde In for olive day and advertise in newsletter.</w:t>
            </w:r>
          </w:p>
          <w:p w:rsidR="00520DAD" w:rsidRPr="00817976" w:rsidRDefault="00520DAD" w:rsidP="00BF7818">
            <w:pPr>
              <w:jc w:val="both"/>
            </w:pPr>
          </w:p>
        </w:tc>
        <w:tc>
          <w:tcPr>
            <w:tcW w:w="1843" w:type="dxa"/>
          </w:tcPr>
          <w:p w:rsidR="00520DAD" w:rsidRPr="00817976" w:rsidRDefault="006B2037" w:rsidP="00BF7818">
            <w:pPr>
              <w:jc w:val="both"/>
            </w:pPr>
            <w:r>
              <w:t>Del</w:t>
            </w:r>
          </w:p>
        </w:tc>
      </w:tr>
      <w:tr w:rsidR="00520DAD" w:rsidRPr="00817976">
        <w:tc>
          <w:tcPr>
            <w:tcW w:w="8046" w:type="dxa"/>
          </w:tcPr>
          <w:p w:rsidR="00520DAD" w:rsidRPr="00817976" w:rsidRDefault="006B2037" w:rsidP="00520DAD">
            <w:pPr>
              <w:jc w:val="both"/>
            </w:pPr>
            <w:r>
              <w:rPr>
                <w:b/>
              </w:rPr>
              <w:t>I</w:t>
            </w:r>
            <w:r w:rsidR="008769D8">
              <w:rPr>
                <w:b/>
              </w:rPr>
              <w:t>nvestigate sources of olives.</w:t>
            </w:r>
          </w:p>
        </w:tc>
        <w:tc>
          <w:tcPr>
            <w:tcW w:w="1843" w:type="dxa"/>
          </w:tcPr>
          <w:p w:rsidR="00520DAD" w:rsidRPr="00817976" w:rsidRDefault="006B2037" w:rsidP="006B2037">
            <w:pPr>
              <w:jc w:val="both"/>
            </w:pPr>
            <w:r>
              <w:t>Del/Sophie/Beck</w:t>
            </w:r>
          </w:p>
        </w:tc>
      </w:tr>
      <w:tr w:rsidR="00520DAD" w:rsidRPr="00817976">
        <w:tc>
          <w:tcPr>
            <w:tcW w:w="8046" w:type="dxa"/>
          </w:tcPr>
          <w:p w:rsidR="008769D8" w:rsidRDefault="006B2037" w:rsidP="008769D8">
            <w:pPr>
              <w:jc w:val="both"/>
            </w:pPr>
            <w:r>
              <w:rPr>
                <w:b/>
              </w:rPr>
              <w:t>C</w:t>
            </w:r>
            <w:r w:rsidR="008769D8">
              <w:rPr>
                <w:b/>
              </w:rPr>
              <w:t>ontact owners of Petra/Millenden land seeking use as demonstration plot.</w:t>
            </w:r>
          </w:p>
          <w:p w:rsidR="00FE143A" w:rsidRPr="00817976" w:rsidRDefault="00FE143A" w:rsidP="00FE143A">
            <w:pPr>
              <w:jc w:val="both"/>
            </w:pPr>
          </w:p>
          <w:p w:rsidR="00520DAD" w:rsidRPr="00817976" w:rsidRDefault="00520DAD" w:rsidP="00520DAD">
            <w:pPr>
              <w:jc w:val="both"/>
            </w:pPr>
          </w:p>
        </w:tc>
        <w:tc>
          <w:tcPr>
            <w:tcW w:w="1843" w:type="dxa"/>
          </w:tcPr>
          <w:p w:rsidR="00520DAD" w:rsidRPr="00817976" w:rsidRDefault="006B2037" w:rsidP="00520DAD">
            <w:pPr>
              <w:jc w:val="both"/>
            </w:pPr>
            <w:r>
              <w:t>Beck</w:t>
            </w:r>
          </w:p>
        </w:tc>
      </w:tr>
      <w:tr w:rsidR="00520DAD" w:rsidRPr="00817976">
        <w:tc>
          <w:tcPr>
            <w:tcW w:w="8046" w:type="dxa"/>
          </w:tcPr>
          <w:p w:rsidR="00520DAD" w:rsidRPr="00817976" w:rsidRDefault="006B2037" w:rsidP="00520DAD">
            <w:pPr>
              <w:jc w:val="both"/>
            </w:pPr>
            <w:r>
              <w:rPr>
                <w:rFonts w:ascii="Times New Roman Bold" w:hAnsi="Times New Roman Bold"/>
              </w:rPr>
              <w:t>E</w:t>
            </w:r>
            <w:r w:rsidR="008769D8" w:rsidRPr="00994E2E">
              <w:rPr>
                <w:rFonts w:ascii="Times New Roman Bold" w:hAnsi="Times New Roman Bold"/>
              </w:rPr>
              <w:t xml:space="preserve">nquire with LotteryWest the </w:t>
            </w:r>
            <w:r w:rsidR="008769D8">
              <w:rPr>
                <w:rFonts w:ascii="Times New Roman Bold" w:hAnsi="Times New Roman Bold"/>
              </w:rPr>
              <w:t xml:space="preserve">application </w:t>
            </w:r>
            <w:r w:rsidR="008769D8" w:rsidRPr="00994E2E">
              <w:rPr>
                <w:rFonts w:ascii="Times New Roman Bold" w:hAnsi="Times New Roman Bold"/>
              </w:rPr>
              <w:t>process and if we need to wait for a site before we apply.</w:t>
            </w:r>
          </w:p>
        </w:tc>
        <w:tc>
          <w:tcPr>
            <w:tcW w:w="1843" w:type="dxa"/>
          </w:tcPr>
          <w:p w:rsidR="00520DAD" w:rsidRPr="00817976" w:rsidRDefault="00502AF5" w:rsidP="00520DAD">
            <w:pPr>
              <w:jc w:val="both"/>
            </w:pPr>
            <w:r>
              <w:t>Del</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6"/>
        <w:gridCol w:w="1843"/>
      </w:tblGrid>
      <w:tr w:rsidR="00541A43" w:rsidRPr="000D197C">
        <w:tc>
          <w:tcPr>
            <w:tcW w:w="8046" w:type="dxa"/>
          </w:tcPr>
          <w:p w:rsidR="00541A43" w:rsidRPr="00084D0B" w:rsidRDefault="00541A43" w:rsidP="009B4029">
            <w:pPr>
              <w:jc w:val="both"/>
            </w:pPr>
            <w:r>
              <w:t>Draft a</w:t>
            </w:r>
            <w:r w:rsidRPr="00084D0B">
              <w:t xml:space="preserve"> policy for ethical investment in the group</w:t>
            </w:r>
          </w:p>
        </w:tc>
        <w:tc>
          <w:tcPr>
            <w:tcW w:w="1843" w:type="dxa"/>
          </w:tcPr>
          <w:p w:rsidR="00541A43" w:rsidRPr="000D197C" w:rsidRDefault="00541A43" w:rsidP="009B4029">
            <w:pPr>
              <w:jc w:val="both"/>
            </w:pPr>
            <w:r>
              <w:t>Del and Imma</w:t>
            </w:r>
          </w:p>
        </w:tc>
      </w:tr>
      <w:tr w:rsidR="00541A43" w:rsidRPr="000D197C">
        <w:tc>
          <w:tcPr>
            <w:tcW w:w="8046" w:type="dxa"/>
          </w:tcPr>
          <w:p w:rsidR="00541A43" w:rsidRPr="00084D0B" w:rsidRDefault="00541A43" w:rsidP="009B4029">
            <w:pPr>
              <w:jc w:val="both"/>
            </w:pPr>
            <w:r>
              <w:t xml:space="preserve">Investigate </w:t>
            </w:r>
            <w:r w:rsidRPr="00084D0B">
              <w:t xml:space="preserve">whether Richmond </w:t>
            </w:r>
            <w:r w:rsidR="00F358EA">
              <w:t>Primary school, East Fremantle P</w:t>
            </w:r>
            <w:r w:rsidRPr="00084D0B">
              <w:t>rimary and John Curtin college would be able to send out the newsletter electronically with their school’s newsletter.</w:t>
            </w:r>
          </w:p>
        </w:tc>
        <w:tc>
          <w:tcPr>
            <w:tcW w:w="1843" w:type="dxa"/>
          </w:tcPr>
          <w:p w:rsidR="00541A43" w:rsidRPr="000D197C" w:rsidRDefault="00541A43" w:rsidP="009B4029">
            <w:pPr>
              <w:jc w:val="both"/>
            </w:pPr>
            <w:r>
              <w:t>Sophie</w:t>
            </w:r>
          </w:p>
        </w:tc>
      </w:tr>
      <w:tr w:rsidR="00541A43" w:rsidRPr="000D197C">
        <w:tc>
          <w:tcPr>
            <w:tcW w:w="8046" w:type="dxa"/>
            <w:tcBorders>
              <w:top w:val="single" w:sz="4" w:space="0" w:color="auto"/>
              <w:left w:val="single" w:sz="4" w:space="0" w:color="auto"/>
              <w:bottom w:val="single" w:sz="4" w:space="0" w:color="auto"/>
              <w:right w:val="single" w:sz="4" w:space="0" w:color="auto"/>
            </w:tcBorders>
          </w:tcPr>
          <w:p w:rsidR="00541A43" w:rsidRPr="00425D6D" w:rsidRDefault="00541A43" w:rsidP="009B4029">
            <w:pPr>
              <w:jc w:val="both"/>
            </w:pPr>
            <w:r>
              <w:t>Look</w:t>
            </w:r>
            <w:r w:rsidRPr="00932E23">
              <w:t xml:space="preserve"> into costs for design and production of signs for East Freo Farm members</w:t>
            </w:r>
            <w:r w:rsidRPr="00541A43">
              <w:t xml:space="preserve"> </w:t>
            </w:r>
          </w:p>
        </w:tc>
        <w:tc>
          <w:tcPr>
            <w:tcW w:w="1843" w:type="dxa"/>
            <w:tcBorders>
              <w:top w:val="single" w:sz="4" w:space="0" w:color="auto"/>
              <w:left w:val="single" w:sz="4" w:space="0" w:color="auto"/>
              <w:bottom w:val="single" w:sz="4" w:space="0" w:color="auto"/>
              <w:right w:val="single" w:sz="4" w:space="0" w:color="auto"/>
            </w:tcBorders>
          </w:tcPr>
          <w:p w:rsidR="00541A43" w:rsidRPr="000D197C" w:rsidRDefault="00541A43" w:rsidP="009B4029">
            <w:pPr>
              <w:jc w:val="both"/>
            </w:pPr>
            <w:r>
              <w:t>Sophie</w:t>
            </w:r>
          </w:p>
        </w:tc>
      </w:tr>
      <w:tr w:rsidR="00541A43" w:rsidRPr="000D197C">
        <w:tc>
          <w:tcPr>
            <w:tcW w:w="8046" w:type="dxa"/>
            <w:tcBorders>
              <w:top w:val="single" w:sz="4" w:space="0" w:color="auto"/>
              <w:left w:val="single" w:sz="4" w:space="0" w:color="auto"/>
              <w:bottom w:val="single" w:sz="4" w:space="0" w:color="auto"/>
              <w:right w:val="single" w:sz="4" w:space="0" w:color="auto"/>
            </w:tcBorders>
          </w:tcPr>
          <w:p w:rsidR="00541A43" w:rsidRPr="00425D6D" w:rsidRDefault="00541A43" w:rsidP="009B4029">
            <w:pPr>
              <w:jc w:val="both"/>
            </w:pPr>
            <w:r>
              <w:t xml:space="preserve">Email Beck photos of Palmyra Market </w:t>
            </w:r>
            <w:r w:rsidR="00F358EA">
              <w:t xml:space="preserve">stall </w:t>
            </w:r>
            <w:r>
              <w:t>to put on website</w:t>
            </w:r>
            <w:r w:rsidRPr="00541A43">
              <w:t xml:space="preserve"> </w:t>
            </w:r>
          </w:p>
        </w:tc>
        <w:tc>
          <w:tcPr>
            <w:tcW w:w="1843" w:type="dxa"/>
            <w:tcBorders>
              <w:top w:val="single" w:sz="4" w:space="0" w:color="auto"/>
              <w:left w:val="single" w:sz="4" w:space="0" w:color="auto"/>
              <w:bottom w:val="single" w:sz="4" w:space="0" w:color="auto"/>
              <w:right w:val="single" w:sz="4" w:space="0" w:color="auto"/>
            </w:tcBorders>
          </w:tcPr>
          <w:p w:rsidR="00541A43" w:rsidRPr="000D197C" w:rsidRDefault="00541A43" w:rsidP="009B4029">
            <w:pPr>
              <w:jc w:val="both"/>
            </w:pPr>
            <w:r>
              <w:t>Del</w:t>
            </w:r>
          </w:p>
        </w:tc>
      </w:tr>
    </w:tbl>
    <w:p w:rsidR="00567BC2" w:rsidRPr="001948D7" w:rsidRDefault="00567BC2" w:rsidP="00567BC2">
      <w:pPr>
        <w:jc w:val="both"/>
        <w:rPr>
          <w:b/>
        </w:rPr>
      </w:pPr>
    </w:p>
    <w:p w:rsidR="009B4029" w:rsidRPr="00817976" w:rsidRDefault="009B4029" w:rsidP="009B4029">
      <w:pPr>
        <w:jc w:val="both"/>
      </w:pPr>
    </w:p>
    <w:sectPr w:rsidR="009B4029" w:rsidRPr="00817976" w:rsidSect="00541A43">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B2E14"/>
    <w:multiLevelType w:val="hybridMultilevel"/>
    <w:tmpl w:val="38768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1623203"/>
    <w:multiLevelType w:val="hybridMultilevel"/>
    <w:tmpl w:val="38768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3160907"/>
    <w:multiLevelType w:val="hybridMultilevel"/>
    <w:tmpl w:val="053E915E"/>
    <w:lvl w:ilvl="0" w:tplc="B6149282">
      <w:start w:val="10"/>
      <w:numFmt w:val="decimal"/>
      <w:lvlText w:val="%1."/>
      <w:lvlJc w:val="left"/>
      <w:pPr>
        <w:tabs>
          <w:tab w:val="num" w:pos="780"/>
        </w:tabs>
        <w:ind w:left="780" w:hanging="42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D865563"/>
    <w:multiLevelType w:val="hybridMultilevel"/>
    <w:tmpl w:val="F432CDC6"/>
    <w:lvl w:ilvl="0" w:tplc="B9707B20">
      <w:start w:val="1"/>
      <w:numFmt w:val="decimal"/>
      <w:lvlText w:val="%1."/>
      <w:lvlJc w:val="left"/>
      <w:pPr>
        <w:tabs>
          <w:tab w:val="num" w:pos="720"/>
        </w:tabs>
        <w:ind w:left="720" w:hanging="360"/>
      </w:pPr>
      <w:rPr>
        <w:rFonts w:hint="default"/>
        <w:i/>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AF7774A"/>
    <w:multiLevelType w:val="hybridMultilevel"/>
    <w:tmpl w:val="4D701AA2"/>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7A0B3B04"/>
    <w:multiLevelType w:val="hybridMultilevel"/>
    <w:tmpl w:val="A2A03D7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B6F3701"/>
    <w:multiLevelType w:val="hybridMultilevel"/>
    <w:tmpl w:val="9C4E053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stylePaneFormatFilter w:val="3701"/>
  <w:doNotTrackMoves/>
  <w:defaultTabStop w:val="720"/>
  <w:characterSpacingControl w:val="doNotCompress"/>
  <w:compat/>
  <w:rsids>
    <w:rsidRoot w:val="00872DEF"/>
    <w:rsid w:val="000008CA"/>
    <w:rsid w:val="000401CA"/>
    <w:rsid w:val="0006585A"/>
    <w:rsid w:val="00080968"/>
    <w:rsid w:val="001115A0"/>
    <w:rsid w:val="00152AEA"/>
    <w:rsid w:val="00210A80"/>
    <w:rsid w:val="00233B5B"/>
    <w:rsid w:val="0026729B"/>
    <w:rsid w:val="00271893"/>
    <w:rsid w:val="00314E4E"/>
    <w:rsid w:val="00333829"/>
    <w:rsid w:val="00351C1C"/>
    <w:rsid w:val="003A01CB"/>
    <w:rsid w:val="003F64C1"/>
    <w:rsid w:val="00461C22"/>
    <w:rsid w:val="00502AF5"/>
    <w:rsid w:val="00520DAD"/>
    <w:rsid w:val="00541A43"/>
    <w:rsid w:val="00551683"/>
    <w:rsid w:val="00554DA5"/>
    <w:rsid w:val="00567BC2"/>
    <w:rsid w:val="005A36D8"/>
    <w:rsid w:val="0061213E"/>
    <w:rsid w:val="00612616"/>
    <w:rsid w:val="0068179A"/>
    <w:rsid w:val="006B2037"/>
    <w:rsid w:val="006C0939"/>
    <w:rsid w:val="006D56DE"/>
    <w:rsid w:val="007043DF"/>
    <w:rsid w:val="00707EB7"/>
    <w:rsid w:val="00727A2D"/>
    <w:rsid w:val="007D016E"/>
    <w:rsid w:val="00817976"/>
    <w:rsid w:val="00871003"/>
    <w:rsid w:val="00872DEF"/>
    <w:rsid w:val="008769D8"/>
    <w:rsid w:val="00903141"/>
    <w:rsid w:val="0098366D"/>
    <w:rsid w:val="0098615F"/>
    <w:rsid w:val="00991810"/>
    <w:rsid w:val="00994E2E"/>
    <w:rsid w:val="009B4029"/>
    <w:rsid w:val="009F6BD5"/>
    <w:rsid w:val="00A20BB1"/>
    <w:rsid w:val="00A22CF8"/>
    <w:rsid w:val="00A725F5"/>
    <w:rsid w:val="00B130F0"/>
    <w:rsid w:val="00B268CE"/>
    <w:rsid w:val="00B6341D"/>
    <w:rsid w:val="00BD0971"/>
    <w:rsid w:val="00BD4CC4"/>
    <w:rsid w:val="00BF7818"/>
    <w:rsid w:val="00C65DF0"/>
    <w:rsid w:val="00C716D3"/>
    <w:rsid w:val="00C82DDB"/>
    <w:rsid w:val="00C852E4"/>
    <w:rsid w:val="00C917B9"/>
    <w:rsid w:val="00CC7BEE"/>
    <w:rsid w:val="00CD6BBF"/>
    <w:rsid w:val="00CE0765"/>
    <w:rsid w:val="00D33792"/>
    <w:rsid w:val="00D351B0"/>
    <w:rsid w:val="00D51562"/>
    <w:rsid w:val="00D66849"/>
    <w:rsid w:val="00E12215"/>
    <w:rsid w:val="00E67E16"/>
    <w:rsid w:val="00E80F92"/>
    <w:rsid w:val="00EA60B1"/>
    <w:rsid w:val="00EE1933"/>
    <w:rsid w:val="00EE1B18"/>
    <w:rsid w:val="00EF365E"/>
    <w:rsid w:val="00F030BB"/>
    <w:rsid w:val="00F15251"/>
    <w:rsid w:val="00F358EA"/>
    <w:rsid w:val="00FE143A"/>
    <w:rsid w:val="00FF77CC"/>
  </w:rsids>
  <m:mathPr>
    <m:mathFont m:val="Verdana Italic"/>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C65DF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ED2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21650"/>
    <w:rPr>
      <w:rFonts w:ascii="Tahoma" w:hAnsi="Tahoma" w:cs="Tahoma"/>
      <w:sz w:val="16"/>
      <w:szCs w:val="16"/>
    </w:rPr>
  </w:style>
  <w:style w:type="character" w:customStyle="1" w:styleId="BalloonTextChar">
    <w:name w:val="Balloon Text Char"/>
    <w:basedOn w:val="DefaultParagraphFont"/>
    <w:link w:val="BalloonText"/>
    <w:rsid w:val="00A21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6F00-7CBF-2947-B0CE-554245C6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963</Words>
  <Characters>5490</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MEETING OF THE EAST FREMANTLE COMMUNITY GARDEN INTERIM COMMITTEE</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EAST FREMANTLE COMMUNITY GARDEN INTERIM COMMITTEE</dc:title>
  <dc:subject/>
  <dc:creator>..</dc:creator>
  <cp:keywords/>
  <dc:description/>
  <cp:lastModifiedBy>David James</cp:lastModifiedBy>
  <cp:revision>3</cp:revision>
  <dcterms:created xsi:type="dcterms:W3CDTF">2011-03-01T05:47:00Z</dcterms:created>
  <dcterms:modified xsi:type="dcterms:W3CDTF">2011-03-01T06:44:00Z</dcterms:modified>
</cp:coreProperties>
</file>